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6AA38">
      <w:pPr>
        <w:jc w:val="left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附件2：</w:t>
      </w:r>
    </w:p>
    <w:p w14:paraId="6B3CDA44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 w14:paraId="188E5E30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西北农林科技大学学工应用勤工助学操作手册</w:t>
      </w:r>
    </w:p>
    <w:p w14:paraId="7988B82B">
      <w:pPr>
        <w:pStyle w:val="13"/>
        <w:spacing w:line="360" w:lineRule="auto"/>
        <w:ind w:left="432" w:firstLine="0" w:firstLineChars="0"/>
        <w:rPr>
          <w:rFonts w:hint="eastAsia" w:ascii="黑体" w:hAnsi="黑体" w:eastAsia="黑体" w:cs="黑体"/>
          <w:sz w:val="24"/>
          <w:lang w:val="en-US" w:eastAsia="zh-CN"/>
        </w:rPr>
      </w:pPr>
      <w:bookmarkStart w:id="0" w:name="_Toc23942"/>
    </w:p>
    <w:p w14:paraId="47418418">
      <w:pPr>
        <w:pStyle w:val="13"/>
        <w:spacing w:line="360" w:lineRule="auto"/>
        <w:ind w:left="432" w:firstLine="0" w:firstLineChars="0"/>
        <w:rPr>
          <w:rFonts w:hint="eastAsia" w:ascii="仿宋" w:hAnsi="仿宋" w:eastAsia="仿宋" w:cs="仿宋"/>
          <w:sz w:val="24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一、</w:t>
      </w:r>
      <w:r>
        <w:rPr>
          <w:rFonts w:hint="eastAsia" w:ascii="黑体" w:hAnsi="黑体" w:eastAsia="黑体" w:cs="黑体"/>
          <w:sz w:val="24"/>
        </w:rPr>
        <w:t>浏览器要求</w:t>
      </w:r>
      <w:bookmarkEnd w:id="0"/>
    </w:p>
    <w:p w14:paraId="23AAAD5C">
      <w:pPr>
        <w:pStyle w:val="13"/>
        <w:spacing w:line="360" w:lineRule="auto"/>
        <w:ind w:left="432" w:firstLine="0" w:firstLineChars="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推荐使用</w:t>
      </w:r>
      <w:r>
        <w:rPr>
          <w:rFonts w:hint="eastAsia" w:ascii="仿宋" w:hAnsi="仿宋" w:eastAsia="仿宋" w:cs="仿宋"/>
          <w:color w:val="FF0000"/>
          <w:sz w:val="24"/>
        </w:rPr>
        <w:t>谷歌浏览器</w:t>
      </w:r>
      <w:r>
        <w:rPr>
          <w:rFonts w:hint="eastAsia" w:ascii="仿宋" w:hAnsi="仿宋" w:eastAsia="仿宋" w:cs="仿宋"/>
          <w:sz w:val="24"/>
        </w:rPr>
        <w:t>进行操作。</w:t>
      </w:r>
    </w:p>
    <w:p w14:paraId="65C965EE">
      <w:pPr>
        <w:pStyle w:val="13"/>
        <w:spacing w:line="360" w:lineRule="auto"/>
        <w:ind w:left="432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</w:rPr>
        <w:t>注：360系列浏览器使用时，不支持兼容模式，请使用</w:t>
      </w:r>
      <w:r>
        <w:rPr>
          <w:rFonts w:hint="eastAsia" w:ascii="仿宋" w:hAnsi="仿宋" w:eastAsia="仿宋" w:cs="仿宋"/>
          <w:color w:val="FF0000"/>
          <w:sz w:val="24"/>
        </w:rPr>
        <w:t>极速</w:t>
      </w:r>
      <w:r>
        <w:rPr>
          <w:rFonts w:hint="eastAsia" w:ascii="仿宋" w:hAnsi="仿宋" w:eastAsia="仿宋" w:cs="仿宋"/>
          <w:sz w:val="24"/>
        </w:rPr>
        <w:t>模式。</w:t>
      </w:r>
    </w:p>
    <w:p w14:paraId="2815B87F">
      <w:pPr>
        <w:spacing w:line="360" w:lineRule="auto"/>
        <w:ind w:left="420"/>
        <w:rPr>
          <w:rFonts w:hint="eastAsia" w:ascii="黑体" w:hAnsi="黑体" w:eastAsia="黑体" w:cs="黑体"/>
          <w:sz w:val="24"/>
          <w:szCs w:val="32"/>
        </w:rPr>
      </w:pPr>
      <w:bookmarkStart w:id="1" w:name="_Toc16501"/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24"/>
          <w:szCs w:val="32"/>
        </w:rPr>
        <w:t>用户登录</w:t>
      </w:r>
      <w:bookmarkEnd w:id="1"/>
    </w:p>
    <w:p w14:paraId="28CA5110">
      <w:pPr>
        <w:spacing w:line="360" w:lineRule="auto"/>
        <w:ind w:left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1.登陆地址为：</w:t>
      </w:r>
      <w:r>
        <w:rPr>
          <w:rFonts w:hint="eastAsia" w:ascii="仿宋" w:hAnsi="仿宋" w:eastAsia="仿宋" w:cs="仿宋"/>
          <w:color w:val="00B0F0"/>
          <w:sz w:val="24"/>
          <w:szCs w:val="32"/>
          <w:u w:val="single"/>
        </w:rPr>
        <w:t>https://newehall.nwafu.edu.cn</w:t>
      </w:r>
    </w:p>
    <w:p w14:paraId="7494A48E">
      <w:pPr>
        <w:spacing w:line="360" w:lineRule="auto"/>
        <w:ind w:left="42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2.使用统一身份认证账号/密码登录系统。</w:t>
      </w:r>
    </w:p>
    <w:p w14:paraId="0579E250">
      <w:pPr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397500" cy="2731770"/>
            <wp:effectExtent l="0" t="0" r="12700" b="1143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BBAF4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楷体" w:hAnsi="楷体" w:eastAsia="楷体" w:cs="楷体"/>
        </w:rPr>
        <w:t>图1</w:t>
      </w:r>
    </w:p>
    <w:p w14:paraId="1D3A12CF">
      <w:pPr>
        <w:pStyle w:val="13"/>
        <w:spacing w:line="360" w:lineRule="auto"/>
        <w:ind w:firstLine="48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</w:rPr>
        <w:t>.在【办事大厅】首页搜索“</w:t>
      </w:r>
      <w:r>
        <w:rPr>
          <w:rFonts w:hint="eastAsia" w:ascii="仿宋" w:hAnsi="仿宋" w:eastAsia="仿宋" w:cs="仿宋"/>
          <w:sz w:val="24"/>
          <w:lang w:eastAsia="zh-CN"/>
        </w:rPr>
        <w:t>勤工助学</w:t>
      </w:r>
      <w:r>
        <w:rPr>
          <w:rFonts w:hint="eastAsia" w:ascii="仿宋" w:hAnsi="仿宋" w:eastAsia="仿宋" w:cs="仿宋"/>
          <w:sz w:val="24"/>
        </w:rPr>
        <w:t>”，点击进入应用（如图2所示）；或在【工作台】——【学工系统】中找到“勤工助学”应用（如图3所示），点击进入。</w:t>
      </w:r>
    </w:p>
    <w:p w14:paraId="403E6BF8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5274310" cy="1527175"/>
            <wp:effectExtent l="0" t="0" r="2540" b="0"/>
            <wp:docPr id="20953573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5738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0D61F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图2</w:t>
      </w:r>
    </w:p>
    <w:p w14:paraId="41E33E13">
      <w:pPr>
        <w:spacing w:line="360" w:lineRule="auto"/>
        <w:rPr>
          <w:rFonts w:hint="eastAsia" w:ascii="仿宋" w:hAnsi="仿宋" w:eastAsia="仿宋" w:cs="仿宋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4892675</wp:posOffset>
                </wp:positionH>
                <wp:positionV relativeFrom="paragraph">
                  <wp:posOffset>64770</wp:posOffset>
                </wp:positionV>
                <wp:extent cx="324485" cy="104140"/>
                <wp:effectExtent l="6350" t="6350" r="19685" b="1143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83300" y="2861310"/>
                          <a:ext cx="324485" cy="104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5.25pt;margin-top:5.1pt;height:8.2pt;width:25.55pt;z-index:251659264;v-text-anchor:middle;mso-width-relative:page;mso-height-relative:page;" fillcolor="#5B9BD5 [3204]" filled="t" stroked="t" coordsize="21600,21600" o:gfxdata="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D8X/zNYAAAAJ&#10;AQAADwAAAAAAAAABACAAAAAiAAAAZHJzL2Rvd25yZXYueG1sUEsBAhQAFAAAAAgAh07iQOohWX6Q&#10;AgAAIQUAAA4AAAAAAAAAAQAgAAAAJQEAAGRycy9lMm9Eb2MueG1sUEsFBgAAAAAGAAYAWQEAACcG&#10;AAAAAA==&#10;">
                <v:fill on="t" focussize="0,0"/>
                <v:stroke weight="1pt" color="#385724 [16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w:drawing>
          <wp:inline distT="0" distB="0" distL="0" distR="0">
            <wp:extent cx="5274310" cy="4692650"/>
            <wp:effectExtent l="0" t="0" r="2540" b="0"/>
            <wp:docPr id="9350931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9316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13E70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图3</w:t>
      </w:r>
    </w:p>
    <w:p w14:paraId="06975666">
      <w:pPr>
        <w:spacing w:line="360" w:lineRule="auto"/>
        <w:ind w:firstLine="480" w:firstLineChars="200"/>
        <w:outlineLvl w:val="1"/>
        <w:rPr>
          <w:rFonts w:hint="eastAsia" w:ascii="黑体" w:hAnsi="黑体" w:eastAsia="黑体" w:cs="黑体"/>
          <w:b w:val="0"/>
          <w:bCs w:val="0"/>
          <w:sz w:val="24"/>
          <w:szCs w:val="32"/>
        </w:rPr>
      </w:pPr>
      <w:bookmarkStart w:id="2" w:name="_Toc461"/>
      <w:r>
        <w:rPr>
          <w:rFonts w:hint="eastAsia" w:ascii="黑体" w:hAnsi="黑体" w:eastAsia="黑体" w:cs="黑体"/>
          <w:b w:val="0"/>
          <w:bCs w:val="0"/>
          <w:sz w:val="24"/>
          <w:szCs w:val="32"/>
        </w:rPr>
        <w:t>三、设岗操作</w:t>
      </w:r>
    </w:p>
    <w:p w14:paraId="66A7CFBE">
      <w:pPr>
        <w:spacing w:line="360" w:lineRule="auto"/>
        <w:ind w:firstLine="482" w:firstLineChars="200"/>
        <w:outlineLvl w:val="1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1.岗位</w:t>
      </w:r>
      <w:bookmarkEnd w:id="2"/>
      <w:r>
        <w:rPr>
          <w:rFonts w:hint="eastAsia" w:ascii="仿宋" w:hAnsi="仿宋" w:eastAsia="仿宋" w:cs="仿宋"/>
          <w:b/>
          <w:bCs/>
          <w:sz w:val="24"/>
          <w:szCs w:val="32"/>
        </w:rPr>
        <w:t>新增</w:t>
      </w:r>
    </w:p>
    <w:p w14:paraId="4ED996B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用工单位在“岗位管理”页面可进行岗位新增操作，点击“新增”即可进入新增岗位界面（如图4所示）。</w:t>
      </w:r>
    </w:p>
    <w:p w14:paraId="0C7803DD">
      <w:pPr>
        <w:spacing w:line="360" w:lineRule="auto"/>
        <w:rPr>
          <w:rFonts w:hint="eastAsia" w:ascii="仿宋" w:hAnsi="仿宋" w:eastAsia="仿宋" w:cs="仿宋"/>
        </w:rPr>
      </w:pPr>
      <w:r>
        <w:rPr>
          <w:rFonts w:ascii="仿宋" w:hAnsi="仿宋" w:eastAsia="仿宋" w:cs="仿宋"/>
        </w:rPr>
        <w:drawing>
          <wp:inline distT="0" distB="0" distL="0" distR="0">
            <wp:extent cx="5274310" cy="1997710"/>
            <wp:effectExtent l="0" t="0" r="2540" b="2540"/>
            <wp:docPr id="789168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6827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E1CA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图4</w:t>
      </w:r>
    </w:p>
    <w:p w14:paraId="683AFE8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进入新增岗位页面后，用工单位可填写基本信息和联系信息，填写完成后点击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提交</w:t>
      </w:r>
      <w:r>
        <w:rPr>
          <w:rFonts w:hint="eastAsia" w:ascii="仿宋" w:hAnsi="仿宋" w:eastAsia="仿宋" w:cs="仿宋"/>
          <w:sz w:val="24"/>
          <w:szCs w:val="32"/>
        </w:rPr>
        <w:t>即可新增岗位（如图5所示）。</w:t>
      </w:r>
    </w:p>
    <w:p w14:paraId="3A43CD39"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注：10人以上的岗位类型需选择“团队岗位”。工作地点尽量详细，如：学生处资助中心办公室亦乐园4号平房。</w:t>
      </w:r>
    </w:p>
    <w:p w14:paraId="5624DC6C">
      <w:pPr>
        <w:spacing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73040" cy="2570480"/>
            <wp:effectExtent l="0" t="0" r="0" b="50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8F778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图5</w:t>
      </w:r>
    </w:p>
    <w:p w14:paraId="4AE63C4B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32"/>
        </w:rPr>
        <w:t>返回“岗位管理”页面后，即可查看到新增的岗位，点击“详情”后可查看岗位信息（如图6所示）。</w:t>
      </w:r>
    </w:p>
    <w:p w14:paraId="1661972F">
      <w:pPr>
        <w:spacing w:line="360" w:lineRule="auto"/>
        <w:jc w:val="center"/>
        <w:rPr>
          <w:rFonts w:hint="eastAsia" w:ascii="楷体" w:hAnsi="楷体" w:eastAsia="楷体" w:cs="楷体"/>
        </w:rPr>
      </w:pPr>
      <w:r>
        <w:drawing>
          <wp:inline distT="0" distB="0" distL="114300" distR="114300">
            <wp:extent cx="5264785" cy="956310"/>
            <wp:effectExtent l="0" t="0" r="8255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3E375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图6</w:t>
      </w:r>
    </w:p>
    <w:p w14:paraId="1359F405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点击“详情”进入岗位管理页面后，可进行撤回操作，点击“撤回”会弹出确认界面，点击确定即可撤回审核（如图7、图8所示）。</w:t>
      </w:r>
    </w:p>
    <w:p w14:paraId="7CF328AC">
      <w:pPr>
        <w:spacing w:line="360" w:lineRule="auto"/>
        <w:jc w:val="center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9865" cy="2454910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t="227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4BEB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图7</w:t>
      </w:r>
    </w:p>
    <w:p w14:paraId="30A92C8C">
      <w:pPr>
        <w:spacing w:line="360" w:lineRule="auto"/>
        <w:jc w:val="center"/>
        <w:rPr>
          <w:rFonts w:hint="eastAsia" w:ascii="楷体" w:hAnsi="楷体" w:eastAsia="楷体" w:cs="楷体"/>
        </w:rPr>
      </w:pPr>
      <w:r>
        <w:drawing>
          <wp:inline distT="0" distB="0" distL="114300" distR="114300">
            <wp:extent cx="5267325" cy="2712085"/>
            <wp:effectExtent l="0" t="0" r="5715" b="63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EB6D9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图8</w:t>
      </w:r>
    </w:p>
    <w:p w14:paraId="66598151"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2.上岗管理</w:t>
      </w:r>
    </w:p>
    <w:p w14:paraId="12C2DC24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选择“上岗管理”会进入审核明细页面，在此页面用工单位可对申请岗位的学生进行审核。点击“上岗详情”即可查看学生的上岗申请详情（如图9所示）。</w:t>
      </w:r>
    </w:p>
    <w:p w14:paraId="58841124">
      <w:pPr>
        <w:spacing w:line="360" w:lineRule="auto"/>
        <w:rPr>
          <w:rFonts w:hint="eastAsia" w:ascii="仿宋" w:hAnsi="仿宋" w:eastAsia="仿宋" w:cs="仿宋"/>
          <w:sz w:val="24"/>
          <w:szCs w:val="32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953770</wp:posOffset>
                </wp:positionV>
                <wp:extent cx="298450" cy="311785"/>
                <wp:effectExtent l="6350" t="6350" r="15240" b="1714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90775" y="2165350"/>
                          <a:ext cx="298450" cy="311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8.25pt;margin-top:75.1pt;height:24.55pt;width:23.5pt;z-index:251660288;v-text-anchor:middle;mso-width-relative:page;mso-height-relative:page;" fillcolor="#FFFFFF [3212]" filled="t" stroked="t" coordsize="21600,21600" o:gfxdata="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mPfIW2AAAAAsBAAAPAAAAAAAAAAEAIAAAACIAAABkcnMv&#10;ZG93bnJldi54bWxQSwECFAAUAAAACACHTuJAlEPTnXUCAAD/BAAADgAAAAAAAAABACAAAAAnAQAA&#10;ZHJzL2Uyb0RvYy54bWxQSwUGAAAAAAYABgBZAQAADgYAAAAA&#10;">
                <v:fill on="t" focussize="0,0"/>
                <v:stroke weight="1pt" color="#FFFFFF [321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 w:cs="仿宋"/>
          <w:sz w:val="24"/>
          <w:szCs w:val="32"/>
        </w:rPr>
        <w:drawing>
          <wp:inline distT="0" distB="0" distL="0" distR="0">
            <wp:extent cx="5274310" cy="1418590"/>
            <wp:effectExtent l="0" t="0" r="13970" b="13970"/>
            <wp:docPr id="14415301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3019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27788">
      <w:pPr>
        <w:spacing w:line="360" w:lineRule="auto"/>
        <w:jc w:val="center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sz w:val="24"/>
          <w:szCs w:val="32"/>
        </w:rPr>
        <w:t>图9</w:t>
      </w:r>
    </w:p>
    <w:p w14:paraId="570073FF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进入“上岗申请详情”页面后，可查看学生信息、空余时间、岗位信息、其他已申请岗位、在岗信息和申请理由，用工单位可根据以上信息对学生进行“通过”“不通过”和“退回”三种操作（如图10所示）。</w:t>
      </w:r>
    </w:p>
    <w:p w14:paraId="476EE470">
      <w:pPr>
        <w:spacing w:line="360" w:lineRule="auto"/>
        <w:rPr>
          <w:rFonts w:hint="eastAsia" w:ascii="仿宋" w:hAnsi="仿宋" w:eastAsia="仿宋" w:cs="仿宋"/>
        </w:rPr>
      </w:pPr>
      <w:r>
        <w:rPr>
          <w:rFonts w:ascii="仿宋" w:hAnsi="仿宋" w:eastAsia="仿宋" w:cs="仿宋"/>
        </w:rPr>
        <w:drawing>
          <wp:inline distT="0" distB="0" distL="0" distR="0">
            <wp:extent cx="5274310" cy="2478405"/>
            <wp:effectExtent l="0" t="0" r="2540" b="0"/>
            <wp:docPr id="13314522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5222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EF40F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图10</w:t>
      </w:r>
    </w:p>
    <w:p w14:paraId="373A01A1">
      <w:pPr>
        <w:spacing w:line="360" w:lineRule="auto"/>
        <w:ind w:firstLine="480" w:firstLineChars="200"/>
        <w:outlineLvl w:val="1"/>
        <w:rPr>
          <w:rFonts w:hint="default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24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薪酬发放</w:t>
      </w:r>
    </w:p>
    <w:p w14:paraId="214896DB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进入“用工单位薪酬管理”选择发放月份（如图11所示），并填写学生工作时长、薪酬和评价，提交用人单位领导审核（如图12所示）。</w:t>
      </w:r>
    </w:p>
    <w:p w14:paraId="5DE8FA0B">
      <w:pPr>
        <w:spacing w:line="360" w:lineRule="auto"/>
        <w:ind w:firstLine="480" w:firstLineChars="200"/>
        <w:rPr>
          <w:rFonts w:hint="default" w:ascii="仿宋" w:hAnsi="仿宋" w:eastAsia="仿宋" w:cs="仿宋"/>
          <w:sz w:val="24"/>
          <w:szCs w:val="32"/>
          <w:lang w:val="en-US" w:eastAsia="zh-CN"/>
        </w:rPr>
      </w:pPr>
      <w:r>
        <w:rPr>
          <w:rFonts w:hint="default" w:ascii="仿宋" w:hAnsi="仿宋" w:eastAsia="仿宋" w:cs="仿宋"/>
          <w:sz w:val="24"/>
          <w:szCs w:val="32"/>
          <w:lang w:val="en-US" w:eastAsia="zh-CN"/>
        </w:rPr>
        <w:t>机关部门及直附属单位固定岗位与临时岗位薪酬由学校承</w:t>
      </w:r>
      <w:bookmarkStart w:id="3" w:name="_GoBack"/>
      <w:bookmarkEnd w:id="3"/>
      <w:r>
        <w:rPr>
          <w:rFonts w:hint="default" w:ascii="仿宋" w:hAnsi="仿宋" w:eastAsia="仿宋" w:cs="仿宋"/>
          <w:sz w:val="24"/>
          <w:szCs w:val="32"/>
          <w:lang w:val="en-US" w:eastAsia="zh-CN"/>
        </w:rPr>
        <w:t>担，学生资助管理中心统一发放；团队岗位薪酬由学校划拨经费，用工单位自行考核并发放。</w:t>
      </w:r>
    </w:p>
    <w:p w14:paraId="56091124">
      <w:pPr>
        <w:spacing w:line="360" w:lineRule="auto"/>
        <w:ind w:firstLine="480" w:firstLineChars="200"/>
        <w:rPr>
          <w:rFonts w:hint="default" w:ascii="仿宋" w:hAnsi="仿宋" w:eastAsia="仿宋" w:cs="仿宋"/>
          <w:sz w:val="24"/>
          <w:szCs w:val="32"/>
          <w:lang w:val="en-US" w:eastAsia="zh-CN"/>
        </w:rPr>
      </w:pPr>
      <w:r>
        <w:rPr>
          <w:rFonts w:hint="default" w:ascii="仿宋" w:hAnsi="仿宋" w:eastAsia="仿宋" w:cs="仿宋"/>
          <w:sz w:val="24"/>
          <w:szCs w:val="32"/>
          <w:lang w:val="en-US" w:eastAsia="zh-CN"/>
        </w:rPr>
        <w:t>学院岗位薪酬由学院本科生资助专项经费承担。</w:t>
      </w:r>
    </w:p>
    <w:p w14:paraId="78C37E5F">
      <w:pPr>
        <w:spacing w:line="360" w:lineRule="auto"/>
        <w:jc w:val="center"/>
      </w:pPr>
      <w:r>
        <w:drawing>
          <wp:inline distT="0" distB="0" distL="114300" distR="114300">
            <wp:extent cx="5270500" cy="1163320"/>
            <wp:effectExtent l="0" t="0" r="8255" b="254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FF64F">
      <w:pPr>
        <w:spacing w:line="360" w:lineRule="auto"/>
        <w:jc w:val="center"/>
        <w:rPr>
          <w:rFonts w:hint="eastAsia" w:ascii="楷体" w:hAnsi="楷体" w:eastAsia="楷体" w:cs="楷体"/>
          <w:lang w:eastAsia="zh-CN"/>
        </w:rPr>
      </w:pPr>
      <w:r>
        <w:rPr>
          <w:rFonts w:hint="eastAsia" w:ascii="楷体" w:hAnsi="楷体" w:eastAsia="楷体" w:cs="楷体"/>
        </w:rPr>
        <w:t>图1</w:t>
      </w:r>
      <w:r>
        <w:rPr>
          <w:rFonts w:hint="eastAsia" w:ascii="楷体" w:hAnsi="楷体" w:eastAsia="楷体" w:cs="楷体"/>
          <w:lang w:val="en-US" w:eastAsia="zh-CN"/>
        </w:rPr>
        <w:t>1</w:t>
      </w:r>
    </w:p>
    <w:p w14:paraId="7BD931C5">
      <w:pPr>
        <w:spacing w:line="360" w:lineRule="auto"/>
        <w:jc w:val="center"/>
      </w:pPr>
    </w:p>
    <w:p w14:paraId="63B45DAD">
      <w:pPr>
        <w:spacing w:line="360" w:lineRule="auto"/>
        <w:jc w:val="center"/>
      </w:pPr>
      <w:r>
        <w:drawing>
          <wp:inline distT="0" distB="0" distL="114300" distR="114300">
            <wp:extent cx="5268595" cy="2553970"/>
            <wp:effectExtent l="0" t="0" r="10160" b="444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E91A2">
      <w:pPr>
        <w:spacing w:line="360" w:lineRule="auto"/>
        <w:jc w:val="center"/>
        <w:rPr>
          <w:rFonts w:hint="eastAsia"/>
        </w:rPr>
      </w:pPr>
      <w:r>
        <w:rPr>
          <w:rFonts w:hint="eastAsia" w:ascii="楷体" w:hAnsi="楷体" w:eastAsia="楷体" w:cs="楷体"/>
        </w:rPr>
        <w:t>图1</w:t>
      </w:r>
      <w:r>
        <w:rPr>
          <w:rFonts w:hint="eastAsia" w:ascii="楷体" w:hAnsi="楷体" w:eastAsia="楷体" w:cs="楷体"/>
          <w:lang w:val="en-US" w:eastAsia="zh-CN"/>
        </w:rPr>
        <w:t>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3248B7-DF80-4136-BC7F-8FE4B508F3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20D2DDC-869C-47AE-9CBD-10F7D3372C4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80304FF-7721-4EF1-9DD1-BEFBC10DD1E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0ABCA27-04D6-4756-B0C0-EAB98E102A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8E"/>
    <w:rsid w:val="0002679E"/>
    <w:rsid w:val="0004134B"/>
    <w:rsid w:val="00072D07"/>
    <w:rsid w:val="000E360E"/>
    <w:rsid w:val="004934D0"/>
    <w:rsid w:val="005D3E48"/>
    <w:rsid w:val="006A6BF1"/>
    <w:rsid w:val="007C0F2D"/>
    <w:rsid w:val="00852DF9"/>
    <w:rsid w:val="00905C2C"/>
    <w:rsid w:val="00A8128E"/>
    <w:rsid w:val="00AD6766"/>
    <w:rsid w:val="00B63880"/>
    <w:rsid w:val="00BB7BB9"/>
    <w:rsid w:val="00BC2370"/>
    <w:rsid w:val="00BC5382"/>
    <w:rsid w:val="00BE317B"/>
    <w:rsid w:val="00D37C76"/>
    <w:rsid w:val="00D40A9A"/>
    <w:rsid w:val="00D9015C"/>
    <w:rsid w:val="00E944FF"/>
    <w:rsid w:val="00F8746D"/>
    <w:rsid w:val="00FA39A6"/>
    <w:rsid w:val="059712F4"/>
    <w:rsid w:val="086B5F67"/>
    <w:rsid w:val="0A431DFD"/>
    <w:rsid w:val="0B5E0D98"/>
    <w:rsid w:val="13F20378"/>
    <w:rsid w:val="1650490B"/>
    <w:rsid w:val="1B8F3DD4"/>
    <w:rsid w:val="1C5E3580"/>
    <w:rsid w:val="1F0812DA"/>
    <w:rsid w:val="1F6A69F1"/>
    <w:rsid w:val="1F764276"/>
    <w:rsid w:val="22237E40"/>
    <w:rsid w:val="22765024"/>
    <w:rsid w:val="26911A8E"/>
    <w:rsid w:val="29A6169E"/>
    <w:rsid w:val="33B223C0"/>
    <w:rsid w:val="35700E4A"/>
    <w:rsid w:val="368E323A"/>
    <w:rsid w:val="3C9009A8"/>
    <w:rsid w:val="3E99265C"/>
    <w:rsid w:val="3EAF1AA9"/>
    <w:rsid w:val="3F9773AC"/>
    <w:rsid w:val="40662CB8"/>
    <w:rsid w:val="412133DE"/>
    <w:rsid w:val="455065A2"/>
    <w:rsid w:val="47177FE7"/>
    <w:rsid w:val="4AE75F55"/>
    <w:rsid w:val="4BBE0E50"/>
    <w:rsid w:val="4C9E0601"/>
    <w:rsid w:val="4DC54476"/>
    <w:rsid w:val="50D30FED"/>
    <w:rsid w:val="535A03A2"/>
    <w:rsid w:val="55C6025A"/>
    <w:rsid w:val="56350F57"/>
    <w:rsid w:val="578064FB"/>
    <w:rsid w:val="58663E46"/>
    <w:rsid w:val="5C807D9F"/>
    <w:rsid w:val="5CEC3E27"/>
    <w:rsid w:val="5D4C017A"/>
    <w:rsid w:val="5FAE5D89"/>
    <w:rsid w:val="600B28A8"/>
    <w:rsid w:val="6A2A6241"/>
    <w:rsid w:val="7132083A"/>
    <w:rsid w:val="720C087B"/>
    <w:rsid w:val="77CD2866"/>
    <w:rsid w:val="7A95542D"/>
    <w:rsid w:val="7D437E30"/>
    <w:rsid w:val="7FF4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character" w:styleId="12">
    <w:name w:val="Hyperlink"/>
    <w:basedOn w:val="11"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16">
    <w:name w:val="页眉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622</Words>
  <Characters>660</Characters>
  <Lines>5</Lines>
  <Paragraphs>1</Paragraphs>
  <TotalTime>0</TotalTime>
  <ScaleCrop>false</ScaleCrop>
  <LinksUpToDate>false</LinksUpToDate>
  <CharactersWithSpaces>660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2025-09-16T15:05:00Z</dcterms:created>
  <dc:creator>wisedu</dc:creator>
  <cp:lastModifiedBy>YYY</cp:lastModifiedBy>
  <dcterms:modified xsi:type="dcterms:W3CDTF">2026-03-05T06:35:57Z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eyJoZGlkIjoiYzExYjY1YmE2NGU1YWZlY2Q0Mjk3YTUwNTg0NjRlMjYiLCJ1c2VySWQiOiIyNjUzMTczMDYifQ==</vt:lpwstr>
  </property>
  <property fmtid="{D5CDD505-2E9C-101B-9397-08002B2CF9AE}" pid="4" name="ICV">
    <vt:lpwstr>C8C4D61F69844EF89290A9B4A097FF8D_13</vt:lpwstr>
  </property>
</Properties>
</file>